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32E68" w14:textId="27EE8AF8" w:rsidR="00836466" w:rsidRPr="00836466" w:rsidRDefault="001637E6" w:rsidP="00836466">
      <w:pPr>
        <w:jc w:val="center"/>
        <w:rPr>
          <w:rFonts w:ascii="Times New Roman" w:hAnsi="Times New Roman" w:cs="Times New Roman"/>
          <w:b/>
          <w:bCs/>
          <w:color w:val="156082" w:themeColor="accent1"/>
          <w:sz w:val="36"/>
          <w:szCs w:val="36"/>
        </w:rPr>
      </w:pPr>
      <w:r>
        <w:rPr>
          <w:rFonts w:ascii="Times New Roman" w:hAnsi="Times New Roman"/>
          <w:b/>
          <w:color w:val="156082" w:themeColor="accent1"/>
          <w:sz w:val="20"/>
        </w:rPr>
        <w:br/>
      </w:r>
      <w:r>
        <w:rPr>
          <w:rFonts w:ascii="Times New Roman" w:hAnsi="Times New Roman"/>
          <w:b/>
          <w:color w:val="156082" w:themeColor="accent1"/>
          <w:sz w:val="36"/>
        </w:rPr>
        <w:t>COMUNICADO DE PRENSA</w:t>
      </w:r>
    </w:p>
    <w:p w14:paraId="4A389F96" w14:textId="4ABFFE46" w:rsidR="00836466" w:rsidRPr="00836466" w:rsidRDefault="00836466" w:rsidP="0083646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RENDIMIENTO DE AGRIEURO EN 2024</w:t>
      </w:r>
    </w:p>
    <w:p w14:paraId="794F1E26" w14:textId="5BD9E510" w:rsidR="00836466" w:rsidRPr="00836466" w:rsidRDefault="00836466" w:rsidP="0083646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</w:rPr>
        <w:t>AgriEuro</w:t>
      </w:r>
      <w:proofErr w:type="spellEnd"/>
      <w:r>
        <w:rPr>
          <w:rFonts w:ascii="Times New Roman" w:hAnsi="Times New Roman"/>
          <w:i/>
          <w:sz w:val="24"/>
        </w:rPr>
        <w:t xml:space="preserve"> consolida su crecimiento en un año complejo para el sector.</w:t>
      </w:r>
    </w:p>
    <w:p w14:paraId="0CD5E9D3" w14:textId="77777777" w:rsidR="00836466" w:rsidRPr="008A081C" w:rsidRDefault="00836466" w:rsidP="00836466">
      <w:pPr>
        <w:rPr>
          <w:rFonts w:ascii="Times New Roman" w:hAnsi="Times New Roman" w:cs="Times New Roman"/>
          <w:sz w:val="24"/>
          <w:szCs w:val="24"/>
        </w:rPr>
      </w:pPr>
    </w:p>
    <w:p w14:paraId="17F1ACC0" w14:textId="51000447" w:rsidR="00AB2F20" w:rsidRDefault="00836466" w:rsidP="0083646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</w:rPr>
        <w:t>Spoleto</w:t>
      </w:r>
      <w:proofErr w:type="spellEnd"/>
      <w:r>
        <w:rPr>
          <w:rFonts w:ascii="Times New Roman" w:hAnsi="Times New Roman"/>
          <w:i/>
          <w:sz w:val="24"/>
        </w:rPr>
        <w:t>, 05.02.2025</w:t>
      </w:r>
      <w:r>
        <w:rPr>
          <w:rFonts w:ascii="Times New Roman" w:hAnsi="Times New Roman"/>
          <w:sz w:val="24"/>
        </w:rPr>
        <w:t xml:space="preserve"> – Según los primeros datos recopilados por la asociación de fabricantes </w:t>
      </w:r>
      <w:proofErr w:type="spellStart"/>
      <w:r>
        <w:rPr>
          <w:rFonts w:ascii="Times New Roman" w:hAnsi="Times New Roman"/>
          <w:sz w:val="24"/>
        </w:rPr>
        <w:t>Comagarden</w:t>
      </w:r>
      <w:proofErr w:type="spellEnd"/>
      <w:r>
        <w:rPr>
          <w:rFonts w:ascii="Times New Roman" w:hAnsi="Times New Roman"/>
          <w:sz w:val="24"/>
        </w:rPr>
        <w:t xml:space="preserve"> y el grupo de encuesta estadística Morgan</w:t>
      </w:r>
      <w:r w:rsidR="00AB2F20">
        <w:rPr>
          <w:rStyle w:val="Rimandonotaapidipagina"/>
          <w:rFonts w:ascii="Times New Roman" w:hAnsi="Times New Roman" w:cs="Times New Roman"/>
          <w:b/>
          <w:bCs/>
          <w:sz w:val="24"/>
          <w:szCs w:val="24"/>
        </w:rPr>
        <w:footnoteReference w:id="1"/>
      </w:r>
      <w:r>
        <w:rPr>
          <w:rFonts w:ascii="Times New Roman" w:hAnsi="Times New Roman"/>
          <w:sz w:val="24"/>
        </w:rPr>
        <w:t xml:space="preserve">, el mercado de máquinas de jardinería registró en el primer semestre de 2024 un crecimiento estable en comparación con el mismo período de 2023 (+0,3%). Las condiciones climáticas favorables a finales de la primavera impulsaron la compra de máquinas para el cuidado de las zonas verdes, con excelentes resultados en cortadoras de césped (+7%), desbrozadoras (+11,7%) y tractores (+13,5%). A la espera de los datos finales, las estimaciones sugieren un ligero aumento anual en las ventas de máquinas de jardín de </w:t>
      </w:r>
      <w:proofErr w:type="spellStart"/>
      <w:r>
        <w:rPr>
          <w:rFonts w:ascii="Times New Roman" w:hAnsi="Times New Roman"/>
          <w:sz w:val="24"/>
        </w:rPr>
        <w:t>apróx</w:t>
      </w:r>
      <w:proofErr w:type="spellEnd"/>
      <w:r>
        <w:rPr>
          <w:rFonts w:ascii="Times New Roman" w:hAnsi="Times New Roman"/>
          <w:sz w:val="24"/>
        </w:rPr>
        <w:t>. un 2%.</w:t>
      </w:r>
    </w:p>
    <w:p w14:paraId="62257AA8" w14:textId="2100840A" w:rsidR="00836466" w:rsidRPr="00836466" w:rsidRDefault="00836466" w:rsidP="00836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En este contexto, </w:t>
      </w:r>
      <w:proofErr w:type="spellStart"/>
      <w:r>
        <w:rPr>
          <w:rFonts w:ascii="Times New Roman" w:hAnsi="Times New Roman"/>
          <w:b/>
          <w:sz w:val="24"/>
        </w:rPr>
        <w:t>AgriEuro</w:t>
      </w:r>
      <w:proofErr w:type="spellEnd"/>
      <w:r>
        <w:rPr>
          <w:rFonts w:ascii="Times New Roman" w:hAnsi="Times New Roman"/>
          <w:b/>
          <w:sz w:val="24"/>
        </w:rPr>
        <w:t xml:space="preserve"> ha seguido destacándose y creciendo por encima de la media</w:t>
      </w:r>
      <w:r>
        <w:rPr>
          <w:rFonts w:ascii="Times New Roman" w:hAnsi="Times New Roman"/>
          <w:sz w:val="24"/>
        </w:rPr>
        <w:t>, marcando resultados positivos que confirman la solidez y capacidad de innovación de la empresa e</w:t>
      </w:r>
      <w:r w:rsidR="009A2D40">
        <w:rPr>
          <w:rFonts w:ascii="Times New Roman" w:hAnsi="Times New Roman"/>
          <w:sz w:val="24"/>
        </w:rPr>
        <w:t>-</w:t>
      </w:r>
      <w:proofErr w:type="spellStart"/>
      <w:r>
        <w:rPr>
          <w:rFonts w:ascii="Times New Roman" w:hAnsi="Times New Roman"/>
          <w:sz w:val="24"/>
        </w:rPr>
        <w:t>commerce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1C2C4015" w14:textId="77777777" w:rsidR="00836466" w:rsidRPr="008A081C" w:rsidRDefault="00836466" w:rsidP="00836466">
      <w:pPr>
        <w:rPr>
          <w:rFonts w:ascii="Times New Roman" w:hAnsi="Times New Roman" w:cs="Times New Roman"/>
          <w:sz w:val="24"/>
          <w:szCs w:val="24"/>
        </w:rPr>
      </w:pPr>
    </w:p>
    <w:p w14:paraId="52DF666E" w14:textId="5BC47E40" w:rsidR="00836466" w:rsidRPr="00836466" w:rsidRDefault="00836466" w:rsidP="008364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CIFRAS DE CRECIMIENTO DE AGRIEURO 2024</w:t>
      </w:r>
    </w:p>
    <w:p w14:paraId="5F697D46" w14:textId="52D699F9" w:rsidR="00836466" w:rsidRPr="00836466" w:rsidRDefault="00836466" w:rsidP="00B72C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AgriEuro</w:t>
      </w:r>
      <w:proofErr w:type="spellEnd"/>
      <w:r>
        <w:rPr>
          <w:rFonts w:ascii="Times New Roman" w:hAnsi="Times New Roman"/>
          <w:sz w:val="24"/>
        </w:rPr>
        <w:t xml:space="preserve"> c</w:t>
      </w:r>
      <w:r w:rsidR="009A2D40">
        <w:rPr>
          <w:rFonts w:ascii="Times New Roman" w:hAnsi="Times New Roman"/>
          <w:sz w:val="24"/>
        </w:rPr>
        <w:t>ierra el</w:t>
      </w:r>
      <w:r>
        <w:rPr>
          <w:rFonts w:ascii="Times New Roman" w:hAnsi="Times New Roman"/>
          <w:sz w:val="24"/>
        </w:rPr>
        <w:t xml:space="preserve"> 2024 con una </w:t>
      </w:r>
      <w:r>
        <w:rPr>
          <w:rFonts w:ascii="Times New Roman" w:hAnsi="Times New Roman"/>
          <w:b/>
          <w:sz w:val="24"/>
        </w:rPr>
        <w:t>facturación total de unos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139 millones de euros, registrando un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incremento del 6,3% respecto a 2023</w:t>
      </w:r>
      <w:r>
        <w:rPr>
          <w:rFonts w:ascii="Times New Roman" w:hAnsi="Times New Roman"/>
          <w:sz w:val="24"/>
        </w:rPr>
        <w:t>. El crecimiento se distribuyó equitativamente entre Italia y el extranjero, con un aumento del 7% en el mercado italiano y del 6% en los mercados internacionales, concentrados exclusivamente</w:t>
      </w:r>
      <w:r w:rsidR="009A2D4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en Europa. Entre los países europeos, se destacan las siguientes actuaciones:</w:t>
      </w:r>
    </w:p>
    <w:p w14:paraId="6CF7D52C" w14:textId="3D53ED1E" w:rsidR="00836466" w:rsidRPr="007661D8" w:rsidRDefault="00836466" w:rsidP="0083646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Francia: +8% </w:t>
      </w:r>
      <w:r>
        <w:rPr>
          <w:rFonts w:ascii="Times New Roman" w:hAnsi="Times New Roman"/>
          <w:sz w:val="24"/>
        </w:rPr>
        <w:t xml:space="preserve">(categorías de mayor impacto: trituradoras para tractor +33%, cortacésped +28%, </w:t>
      </w:r>
      <w:proofErr w:type="spellStart"/>
      <w:r>
        <w:rPr>
          <w:rFonts w:ascii="Times New Roman" w:hAnsi="Times New Roman"/>
          <w:sz w:val="24"/>
        </w:rPr>
        <w:t>hidrolimpiadoras</w:t>
      </w:r>
      <w:proofErr w:type="spellEnd"/>
      <w:r>
        <w:rPr>
          <w:rFonts w:ascii="Times New Roman" w:hAnsi="Times New Roman"/>
          <w:sz w:val="24"/>
        </w:rPr>
        <w:t xml:space="preserve"> +25%);</w:t>
      </w:r>
    </w:p>
    <w:p w14:paraId="39E1FF48" w14:textId="57BC5D95" w:rsidR="009B0EDD" w:rsidRPr="007661D8" w:rsidRDefault="009B0EDD" w:rsidP="009B0ED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España: +5%</w:t>
      </w:r>
      <w:r>
        <w:rPr>
          <w:rFonts w:ascii="Times New Roman" w:hAnsi="Times New Roman"/>
          <w:sz w:val="24"/>
        </w:rPr>
        <w:t xml:space="preserve"> (categorías de mayor impacto: trituradoras para tractor +49%, tractores +35%, desbrozadoras +19%);</w:t>
      </w:r>
    </w:p>
    <w:p w14:paraId="7AB9E4A7" w14:textId="05C81EAF" w:rsidR="00836466" w:rsidRPr="007661D8" w:rsidRDefault="00836466" w:rsidP="0083646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Alemania: +4%</w:t>
      </w:r>
      <w:r>
        <w:rPr>
          <w:rFonts w:ascii="Times New Roman" w:hAnsi="Times New Roman"/>
          <w:sz w:val="24"/>
        </w:rPr>
        <w:t xml:space="preserve"> (categorías de mayor impacto: </w:t>
      </w:r>
      <w:proofErr w:type="spellStart"/>
      <w:r>
        <w:rPr>
          <w:rFonts w:ascii="Times New Roman" w:hAnsi="Times New Roman"/>
          <w:sz w:val="24"/>
        </w:rPr>
        <w:t>hidrolimpiadoras</w:t>
      </w:r>
      <w:proofErr w:type="spellEnd"/>
      <w:r>
        <w:rPr>
          <w:rFonts w:ascii="Times New Roman" w:hAnsi="Times New Roman"/>
          <w:sz w:val="24"/>
        </w:rPr>
        <w:t xml:space="preserve"> +33%, tractores +28%, amasadoras +19%). </w:t>
      </w:r>
    </w:p>
    <w:p w14:paraId="5744006D" w14:textId="77777777" w:rsidR="009B0EDD" w:rsidRDefault="009B0EDD" w:rsidP="00836466">
      <w:pPr>
        <w:rPr>
          <w:rFonts w:ascii="Times New Roman" w:hAnsi="Times New Roman" w:cs="Times New Roman"/>
          <w:sz w:val="24"/>
          <w:szCs w:val="24"/>
        </w:rPr>
      </w:pPr>
    </w:p>
    <w:p w14:paraId="52472D77" w14:textId="129DB10A" w:rsidR="00836466" w:rsidRPr="00836466" w:rsidRDefault="00836466" w:rsidP="00836466">
      <w:pPr>
        <w:rPr>
          <w:rFonts w:ascii="Times New Roman" w:hAnsi="Times New Roman" w:cs="Times New Roman"/>
          <w:sz w:val="24"/>
          <w:szCs w:val="24"/>
        </w:rPr>
      </w:pPr>
      <w:bookmarkStart w:id="0" w:name="_Hlk189571352"/>
      <w:r>
        <w:rPr>
          <w:rFonts w:ascii="Times New Roman" w:hAnsi="Times New Roman"/>
          <w:sz w:val="24"/>
        </w:rPr>
        <w:t xml:space="preserve">El análisis por </w:t>
      </w:r>
      <w:proofErr w:type="spellStart"/>
      <w:r>
        <w:rPr>
          <w:rFonts w:ascii="Times New Roman" w:hAnsi="Times New Roman"/>
          <w:b/>
          <w:sz w:val="24"/>
        </w:rPr>
        <w:t>macro-categorías</w:t>
      </w:r>
      <w:proofErr w:type="spellEnd"/>
      <w:r>
        <w:rPr>
          <w:rFonts w:ascii="Times New Roman" w:hAnsi="Times New Roman"/>
          <w:sz w:val="24"/>
        </w:rPr>
        <w:t xml:space="preserve"> de los productos muestra resultados significativos:</w:t>
      </w:r>
    </w:p>
    <w:p w14:paraId="0FA80BBF" w14:textId="6045CB47" w:rsidR="00836466" w:rsidRPr="00836466" w:rsidRDefault="00836466" w:rsidP="008364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Cocina al aire libre: +65%</w:t>
      </w:r>
      <w:r>
        <w:rPr>
          <w:rFonts w:ascii="Times New Roman" w:hAnsi="Times New Roman"/>
          <w:sz w:val="24"/>
        </w:rPr>
        <w:t xml:space="preserve"> (en auge</w:t>
      </w:r>
      <w:r w:rsidR="009A2D40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piscinas, barbacoas, hornos interiores y exteriores, y buenos resultados para la reciente categoría </w:t>
      </w:r>
      <w:r w:rsidR="009A2D40">
        <w:rPr>
          <w:rFonts w:ascii="Times New Roman" w:hAnsi="Times New Roman"/>
          <w:sz w:val="24"/>
        </w:rPr>
        <w:t>casetas</w:t>
      </w:r>
      <w:r>
        <w:rPr>
          <w:rFonts w:ascii="Times New Roman" w:hAnsi="Times New Roman"/>
          <w:sz w:val="24"/>
        </w:rPr>
        <w:t xml:space="preserve"> de jardín); </w:t>
      </w:r>
    </w:p>
    <w:p w14:paraId="3CD745E0" w14:textId="6D98AD54" w:rsidR="00836466" w:rsidRPr="00836466" w:rsidRDefault="009A2D40" w:rsidP="008364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Equipos</w:t>
      </w:r>
      <w:r w:rsidR="00546B33">
        <w:rPr>
          <w:rFonts w:ascii="Times New Roman" w:hAnsi="Times New Roman"/>
          <w:b/>
          <w:sz w:val="24"/>
        </w:rPr>
        <w:t xml:space="preserve"> para la </w:t>
      </w:r>
      <w:r>
        <w:rPr>
          <w:rFonts w:ascii="Times New Roman" w:hAnsi="Times New Roman"/>
          <w:b/>
          <w:sz w:val="24"/>
        </w:rPr>
        <w:t>Recolección</w:t>
      </w:r>
      <w:r w:rsidR="00546B33">
        <w:rPr>
          <w:rFonts w:ascii="Times New Roman" w:hAnsi="Times New Roman"/>
          <w:b/>
          <w:sz w:val="24"/>
        </w:rPr>
        <w:t xml:space="preserve"> de aceitunas: +49%</w:t>
      </w:r>
      <w:r w:rsidR="00546B33">
        <w:rPr>
          <w:rFonts w:ascii="Times New Roman" w:hAnsi="Times New Roman"/>
          <w:sz w:val="24"/>
        </w:rPr>
        <w:t xml:space="preserve"> </w:t>
      </w:r>
    </w:p>
    <w:p w14:paraId="29A071A7" w14:textId="6F9D4CAB" w:rsidR="00836466" w:rsidRPr="00546B33" w:rsidRDefault="00836466" w:rsidP="0083646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Máquinas Agrícolas para Tractor: +22% </w:t>
      </w:r>
      <w:r>
        <w:rPr>
          <w:rFonts w:ascii="Times New Roman" w:hAnsi="Times New Roman"/>
          <w:sz w:val="24"/>
        </w:rPr>
        <w:t>(liderado por las trituradoras para tractor);</w:t>
      </w:r>
    </w:p>
    <w:p w14:paraId="0B34CDE4" w14:textId="1E3DF9C5" w:rsidR="00836466" w:rsidRPr="007661D8" w:rsidRDefault="00836466" w:rsidP="00836466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Lavado y Máquinas para Limpieza: +13% </w:t>
      </w:r>
      <w:r>
        <w:rPr>
          <w:rFonts w:ascii="Times New Roman" w:hAnsi="Times New Roman"/>
          <w:sz w:val="24"/>
        </w:rPr>
        <w:t xml:space="preserve">(liderado por las </w:t>
      </w:r>
      <w:proofErr w:type="spellStart"/>
      <w:r>
        <w:rPr>
          <w:rFonts w:ascii="Times New Roman" w:hAnsi="Times New Roman"/>
          <w:sz w:val="24"/>
        </w:rPr>
        <w:t>hidrolimpiadoras</w:t>
      </w:r>
      <w:proofErr w:type="spellEnd"/>
      <w:r>
        <w:rPr>
          <w:rFonts w:ascii="Times New Roman" w:hAnsi="Times New Roman"/>
          <w:sz w:val="24"/>
        </w:rPr>
        <w:t>);</w:t>
      </w:r>
    </w:p>
    <w:p w14:paraId="03CB5C7A" w14:textId="4BDE42D2" w:rsidR="00836466" w:rsidRPr="007661D8" w:rsidRDefault="00836466" w:rsidP="00836466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Corte y Mantenimiento del Jardín: +9% </w:t>
      </w:r>
      <w:r>
        <w:rPr>
          <w:rFonts w:ascii="Times New Roman" w:hAnsi="Times New Roman"/>
          <w:sz w:val="24"/>
        </w:rPr>
        <w:t>(en aumento encontramos los tractores cortacésped).</w:t>
      </w:r>
    </w:p>
    <w:bookmarkEnd w:id="0"/>
    <w:p w14:paraId="1F39112E" w14:textId="77777777" w:rsidR="00C565F1" w:rsidRDefault="00C565F1" w:rsidP="008364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A77416" w14:textId="6AE1E873" w:rsidR="00836466" w:rsidRPr="00836466" w:rsidRDefault="00C8538D" w:rsidP="008364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El </w:t>
      </w:r>
      <w:r>
        <w:rPr>
          <w:rFonts w:ascii="Times New Roman" w:hAnsi="Times New Roman"/>
          <w:b/>
          <w:sz w:val="24"/>
        </w:rPr>
        <w:t>segundo semestre</w:t>
      </w:r>
      <w:r>
        <w:rPr>
          <w:rFonts w:ascii="Times New Roman" w:hAnsi="Times New Roman"/>
          <w:sz w:val="24"/>
        </w:rPr>
        <w:t xml:space="preserve"> </w:t>
      </w:r>
      <w:r w:rsidR="009A2D40">
        <w:rPr>
          <w:rFonts w:ascii="Times New Roman" w:hAnsi="Times New Roman"/>
          <w:sz w:val="24"/>
        </w:rPr>
        <w:t>ha registrado</w:t>
      </w:r>
      <w:r>
        <w:rPr>
          <w:rFonts w:ascii="Times New Roman" w:hAnsi="Times New Roman"/>
          <w:sz w:val="24"/>
        </w:rPr>
        <w:t xml:space="preserve"> un incremento de </w:t>
      </w:r>
      <w:r>
        <w:rPr>
          <w:rFonts w:ascii="Times New Roman" w:hAnsi="Times New Roman"/>
          <w:b/>
          <w:sz w:val="24"/>
        </w:rPr>
        <w:t>un 16%</w:t>
      </w:r>
      <w:r>
        <w:rPr>
          <w:rFonts w:ascii="Times New Roman" w:hAnsi="Times New Roman"/>
          <w:sz w:val="24"/>
        </w:rPr>
        <w:t xml:space="preserve"> respecto al mismo período del año anterior, con un crecimiento máximo </w:t>
      </w:r>
      <w:r>
        <w:rPr>
          <w:rFonts w:ascii="Times New Roman" w:hAnsi="Times New Roman"/>
          <w:b/>
          <w:sz w:val="24"/>
        </w:rPr>
        <w:t>del 23%</w:t>
      </w:r>
      <w:r>
        <w:rPr>
          <w:rFonts w:ascii="Times New Roman" w:hAnsi="Times New Roman"/>
          <w:sz w:val="24"/>
        </w:rPr>
        <w:t xml:space="preserve"> en el último trimestre, impulsado por la optimización de </w:t>
      </w:r>
      <w:r>
        <w:rPr>
          <w:rFonts w:ascii="Times New Roman" w:hAnsi="Times New Roman"/>
          <w:b/>
          <w:sz w:val="24"/>
        </w:rPr>
        <w:t>la cadena de suministro</w:t>
      </w:r>
      <w:r>
        <w:rPr>
          <w:rFonts w:ascii="Times New Roman" w:hAnsi="Times New Roman"/>
          <w:sz w:val="24"/>
        </w:rPr>
        <w:t xml:space="preserve"> y las promociones </w:t>
      </w:r>
      <w:r>
        <w:rPr>
          <w:rFonts w:ascii="Times New Roman" w:hAnsi="Times New Roman"/>
          <w:b/>
          <w:sz w:val="24"/>
        </w:rPr>
        <w:t>del Black Friday</w:t>
      </w:r>
      <w:r>
        <w:rPr>
          <w:rFonts w:ascii="Times New Roman" w:hAnsi="Times New Roman"/>
          <w:sz w:val="24"/>
        </w:rPr>
        <w:t xml:space="preserve">. Este resultado no solo confirma la tendencia positiva de </w:t>
      </w:r>
      <w:proofErr w:type="spellStart"/>
      <w:r>
        <w:rPr>
          <w:rFonts w:ascii="Times New Roman" w:hAnsi="Times New Roman"/>
          <w:sz w:val="24"/>
        </w:rPr>
        <w:t>AgriEuro</w:t>
      </w:r>
      <w:proofErr w:type="spellEnd"/>
      <w:r>
        <w:rPr>
          <w:rFonts w:ascii="Times New Roman" w:hAnsi="Times New Roman"/>
          <w:sz w:val="24"/>
        </w:rPr>
        <w:t xml:space="preserve">, sino que también </w:t>
      </w:r>
      <w:r w:rsidR="009A2D40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sienta las bases para un crecimiento más sostenido en 2025, que podría apoyarse en valores acordes con este escenario de desarrollo.</w:t>
      </w:r>
    </w:p>
    <w:p w14:paraId="0C9346E3" w14:textId="77777777" w:rsidR="00836466" w:rsidRPr="008A081C" w:rsidRDefault="00836466" w:rsidP="00836466">
      <w:pPr>
        <w:rPr>
          <w:rFonts w:ascii="Times New Roman" w:hAnsi="Times New Roman" w:cs="Times New Roman"/>
          <w:sz w:val="24"/>
          <w:szCs w:val="24"/>
        </w:rPr>
      </w:pPr>
    </w:p>
    <w:p w14:paraId="521D3992" w14:textId="2C1618DF" w:rsidR="00836466" w:rsidRPr="00836466" w:rsidRDefault="00836466" w:rsidP="008364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NOVEDADES AGRIEURO PARA 2025</w:t>
      </w:r>
    </w:p>
    <w:p w14:paraId="46367E1D" w14:textId="38A10BEB" w:rsidR="00836466" w:rsidRPr="00836466" w:rsidRDefault="00836466" w:rsidP="008557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2025 </w:t>
      </w:r>
      <w:r w:rsidR="000D68C6">
        <w:rPr>
          <w:rFonts w:ascii="Times New Roman" w:hAnsi="Times New Roman"/>
          <w:sz w:val="24"/>
        </w:rPr>
        <w:t>comienza</w:t>
      </w:r>
      <w:r>
        <w:rPr>
          <w:rFonts w:ascii="Times New Roman" w:hAnsi="Times New Roman"/>
          <w:sz w:val="24"/>
        </w:rPr>
        <w:t xml:space="preserve"> con varias iniciativas estratégicas para consolidar aún más la posición de </w:t>
      </w:r>
      <w:proofErr w:type="spellStart"/>
      <w:r>
        <w:rPr>
          <w:rFonts w:ascii="Times New Roman" w:hAnsi="Times New Roman"/>
          <w:sz w:val="24"/>
        </w:rPr>
        <w:t>AgriEuro</w:t>
      </w:r>
      <w:proofErr w:type="spellEnd"/>
      <w:r>
        <w:rPr>
          <w:rFonts w:ascii="Times New Roman" w:hAnsi="Times New Roman"/>
          <w:sz w:val="24"/>
        </w:rPr>
        <w:t xml:space="preserve"> en el mercado europeo:</w:t>
      </w:r>
    </w:p>
    <w:p w14:paraId="3B858977" w14:textId="21C541A5" w:rsidR="00EF79C1" w:rsidRDefault="00EF79C1" w:rsidP="00EF79C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Lanzamiento de los servicios </w:t>
      </w:r>
      <w:proofErr w:type="spellStart"/>
      <w:r>
        <w:rPr>
          <w:rFonts w:ascii="Times New Roman" w:hAnsi="Times New Roman"/>
          <w:b/>
          <w:sz w:val="24"/>
        </w:rPr>
        <w:t>AgriEuro</w:t>
      </w:r>
      <w:proofErr w:type="spellEnd"/>
      <w:r>
        <w:rPr>
          <w:rFonts w:ascii="Times New Roman" w:hAnsi="Times New Roman"/>
          <w:b/>
          <w:sz w:val="24"/>
        </w:rPr>
        <w:t xml:space="preserve"> Point</w:t>
      </w:r>
      <w:r>
        <w:rPr>
          <w:rFonts w:ascii="Times New Roman" w:hAnsi="Times New Roman"/>
          <w:sz w:val="24"/>
        </w:rPr>
        <w:t xml:space="preserve">: La oferta de servicios de proximidad que permitirán a los clientes recoger productos de talleres </w:t>
      </w:r>
      <w:r w:rsidR="009A2D40">
        <w:rPr>
          <w:rFonts w:ascii="Times New Roman" w:hAnsi="Times New Roman"/>
          <w:sz w:val="24"/>
        </w:rPr>
        <w:t>colaboradores</w:t>
      </w:r>
      <w:r>
        <w:rPr>
          <w:rFonts w:ascii="Times New Roman" w:hAnsi="Times New Roman"/>
          <w:sz w:val="24"/>
        </w:rPr>
        <w:t xml:space="preserve">, que también ofrecerán servicios adicionales de posventa como montaje y pruebas en casa. Para 2025, también será posible comprar directamente en </w:t>
      </w:r>
      <w:r>
        <w:rPr>
          <w:rFonts w:ascii="Times New Roman" w:hAnsi="Times New Roman"/>
          <w:i/>
          <w:sz w:val="24"/>
        </w:rPr>
        <w:t xml:space="preserve">Agrieuro.es </w:t>
      </w:r>
      <w:r>
        <w:rPr>
          <w:rFonts w:ascii="Times New Roman" w:hAnsi="Times New Roman"/>
          <w:sz w:val="24"/>
        </w:rPr>
        <w:t>en talleres o distribuidores asociados, lo que guiará a los clientes en la elección del producto ideal.</w:t>
      </w:r>
    </w:p>
    <w:p w14:paraId="06B854D9" w14:textId="40E0AC3A" w:rsidR="009B0EDD" w:rsidRPr="009B0EDD" w:rsidRDefault="009B0EDD" w:rsidP="009B0EDD">
      <w:pPr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Ampliación de la gama de productos</w:t>
      </w:r>
      <w:r>
        <w:rPr>
          <w:rFonts w:ascii="Times New Roman" w:hAnsi="Times New Roman"/>
          <w:sz w:val="24"/>
        </w:rPr>
        <w:t>: Introducción de nuevas marcas en el sector de la jardinería y ampliación de algunas categorías clave para nuestro catálogo.</w:t>
      </w:r>
    </w:p>
    <w:p w14:paraId="339103D7" w14:textId="0CF777D2" w:rsidR="00836466" w:rsidRPr="00836466" w:rsidRDefault="00836466" w:rsidP="00585E6B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Eficiencia de los canales de pago por clic</w:t>
      </w:r>
      <w:r>
        <w:rPr>
          <w:rFonts w:ascii="Times New Roman" w:hAnsi="Times New Roman"/>
          <w:sz w:val="24"/>
        </w:rPr>
        <w:t>: Gestión aún más específica de las campañas de publicidad online.</w:t>
      </w:r>
    </w:p>
    <w:p w14:paraId="49C90480" w14:textId="473770DB" w:rsidR="00836466" w:rsidRPr="007661D8" w:rsidRDefault="00836466" w:rsidP="0083646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Campañas de notoriedad de la marca</w:t>
      </w:r>
      <w:r>
        <w:rPr>
          <w:rFonts w:ascii="Times New Roman" w:hAnsi="Times New Roman"/>
          <w:sz w:val="24"/>
        </w:rPr>
        <w:t xml:space="preserve">: El objetivo es llegar a un público cada vez más numeroso y potenciar la marca </w:t>
      </w:r>
      <w:proofErr w:type="spellStart"/>
      <w:r>
        <w:rPr>
          <w:rFonts w:ascii="Times New Roman" w:hAnsi="Times New Roman"/>
          <w:sz w:val="24"/>
        </w:rPr>
        <w:t>AgriEuro</w:t>
      </w:r>
      <w:proofErr w:type="spellEnd"/>
      <w:r>
        <w:rPr>
          <w:rFonts w:ascii="Times New Roman" w:hAnsi="Times New Roman"/>
          <w:sz w:val="24"/>
        </w:rPr>
        <w:t>.</w:t>
      </w:r>
    </w:p>
    <w:p w14:paraId="29887541" w14:textId="77777777" w:rsidR="00EF79C1" w:rsidRPr="008A081C" w:rsidRDefault="00EF79C1" w:rsidP="00836466">
      <w:pPr>
        <w:rPr>
          <w:rFonts w:ascii="Times New Roman" w:hAnsi="Times New Roman" w:cs="Times New Roman"/>
          <w:sz w:val="24"/>
          <w:szCs w:val="24"/>
        </w:rPr>
      </w:pPr>
    </w:p>
    <w:p w14:paraId="14416ED8" w14:textId="77777777" w:rsidR="00384705" w:rsidRDefault="00384705" w:rsidP="00EF79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4CC593" w14:textId="77777777" w:rsidR="00E47567" w:rsidRDefault="00E47567" w:rsidP="00D125B2">
      <w:pPr>
        <w:rPr>
          <w:rFonts w:ascii="Times New Roman" w:hAnsi="Times New Roman" w:cs="Times New Roman"/>
        </w:rPr>
      </w:pPr>
    </w:p>
    <w:p w14:paraId="6FFADCAE" w14:textId="05F103D7" w:rsidR="009A2D40" w:rsidRDefault="00EF79C1" w:rsidP="009A2D4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u w:val="single"/>
        </w:rPr>
        <w:t>Para más información</w:t>
      </w:r>
      <w:r>
        <w:rPr>
          <w:rFonts w:ascii="Times New Roman" w:hAnsi="Times New Roman"/>
          <w:u w:val="single"/>
        </w:rPr>
        <w:br/>
      </w:r>
      <w:r w:rsidR="009A2D40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itio corporativo: </w:t>
      </w:r>
      <w:hyperlink r:id="rId8" w:history="1">
        <w:r>
          <w:rPr>
            <w:rFonts w:ascii="Times New Roman" w:hAnsi="Times New Roman"/>
          </w:rPr>
          <w:t>www.agrieuro.info/es</w:t>
        </w:r>
      </w:hyperlink>
      <w:r>
        <w:rPr>
          <w:rFonts w:ascii="Times New Roman" w:hAnsi="Times New Roman"/>
        </w:rPr>
        <w:t xml:space="preserve"> </w:t>
      </w:r>
    </w:p>
    <w:p w14:paraId="07594271" w14:textId="78F48063" w:rsidR="00836466" w:rsidRPr="00836466" w:rsidRDefault="00EF79C1" w:rsidP="009A2D4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Sitio web:</w:t>
      </w:r>
      <w:r>
        <w:t xml:space="preserve"> www.agrieuro.es</w:t>
      </w:r>
    </w:p>
    <w:p w14:paraId="1FF14E26" w14:textId="77777777" w:rsidR="00EF79C1" w:rsidRPr="00E47567" w:rsidRDefault="00EF79C1" w:rsidP="00EF79C1">
      <w:pPr>
        <w:jc w:val="center"/>
        <w:rPr>
          <w:rFonts w:ascii="Times New Roman" w:hAnsi="Times New Roman" w:cs="Times New Roman"/>
        </w:rPr>
      </w:pPr>
    </w:p>
    <w:p w14:paraId="10C2BD7E" w14:textId="77777777" w:rsidR="009A2D40" w:rsidRDefault="00836466" w:rsidP="00C247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Oficina de Prensa </w:t>
      </w:r>
      <w:proofErr w:type="spellStart"/>
      <w:r>
        <w:rPr>
          <w:rFonts w:ascii="Times New Roman" w:hAnsi="Times New Roman"/>
          <w:b/>
        </w:rPr>
        <w:t>AgriEuro</w:t>
      </w:r>
      <w:proofErr w:type="spellEnd"/>
      <w:r>
        <w:rPr>
          <w:rFonts w:ascii="Times New Roman" w:hAnsi="Times New Roman"/>
          <w:b/>
        </w:rPr>
        <w:t xml:space="preserve"> </w:t>
      </w:r>
    </w:p>
    <w:p w14:paraId="5E1FFD60" w14:textId="77777777" w:rsidR="009A2D40" w:rsidRDefault="00836466" w:rsidP="009A2D4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Raquel Palomo Ortega </w:t>
      </w:r>
    </w:p>
    <w:p w14:paraId="624774C3" w14:textId="6AEA498A" w:rsidR="0054797E" w:rsidRPr="00C247CD" w:rsidRDefault="00836466" w:rsidP="009A2D4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press@agrieuro.co</w:t>
      </w:r>
      <w:r w:rsidR="009A2D40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</w:t>
      </w:r>
    </w:p>
    <w:sectPr w:rsidR="0054797E" w:rsidRPr="00C247C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E7027" w14:textId="77777777" w:rsidR="00167E8A" w:rsidRDefault="00167E8A" w:rsidP="000E296C">
      <w:pPr>
        <w:spacing w:after="0" w:line="240" w:lineRule="auto"/>
      </w:pPr>
      <w:r>
        <w:separator/>
      </w:r>
    </w:p>
  </w:endnote>
  <w:endnote w:type="continuationSeparator" w:id="0">
    <w:p w14:paraId="7BA4603A" w14:textId="77777777" w:rsidR="00167E8A" w:rsidRDefault="00167E8A" w:rsidP="000E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3CF32" w14:textId="77777777" w:rsidR="00167E8A" w:rsidRDefault="00167E8A" w:rsidP="000E296C">
      <w:pPr>
        <w:spacing w:after="0" w:line="240" w:lineRule="auto"/>
      </w:pPr>
      <w:r>
        <w:separator/>
      </w:r>
    </w:p>
  </w:footnote>
  <w:footnote w:type="continuationSeparator" w:id="0">
    <w:p w14:paraId="106854E5" w14:textId="77777777" w:rsidR="00167E8A" w:rsidRDefault="00167E8A" w:rsidP="000E296C">
      <w:pPr>
        <w:spacing w:after="0" w:line="240" w:lineRule="auto"/>
      </w:pPr>
      <w:r>
        <w:continuationSeparator/>
      </w:r>
    </w:p>
  </w:footnote>
  <w:footnote w:id="1">
    <w:p w14:paraId="0FEC0E00" w14:textId="77777777" w:rsidR="00AB2F20" w:rsidRDefault="00AB2F20" w:rsidP="00AB2F2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>
          <w:rPr>
            <w:rStyle w:val="Collegamentoipertestuale"/>
          </w:rPr>
          <w:t>https://www.federunacoma.it/it/Macchine-per-il-gardening-il-fattore-meteo-condiziona-il-mercato/c14642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F790A" w14:textId="77777777" w:rsidR="001637E6" w:rsidRDefault="001637E6" w:rsidP="001637E6">
    <w:pPr>
      <w:pStyle w:val="Intestazione"/>
    </w:pPr>
    <w:r>
      <w:rPr>
        <w:noProof/>
      </w:rPr>
      <w:drawing>
        <wp:inline distT="0" distB="0" distL="0" distR="0" wp14:anchorId="15A28AD7" wp14:editId="17B5287C">
          <wp:extent cx="2160000" cy="278363"/>
          <wp:effectExtent l="0" t="0" r="0" b="7620"/>
          <wp:docPr id="1" name="Immagine 1" descr="Immagine che contiene testo, orologi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orologio, clipart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78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532B07" w14:textId="5B565B18" w:rsidR="001637E6" w:rsidRPr="009A2D40" w:rsidRDefault="001637E6" w:rsidP="001637E6">
    <w:pPr>
      <w:pStyle w:val="Intestazione"/>
      <w:rPr>
        <w:rFonts w:ascii="Aptos" w:hAnsi="Aptos"/>
        <w:sz w:val="18"/>
        <w:szCs w:val="18"/>
        <w:lang w:val="it-IT"/>
      </w:rPr>
    </w:pPr>
    <w:r w:rsidRPr="009A2D40">
      <w:rPr>
        <w:rFonts w:ascii="Aptos" w:hAnsi="Aptos"/>
        <w:sz w:val="18"/>
        <w:lang w:val="it-IT"/>
      </w:rPr>
      <w:t>Loc. Petrognano 50/D..</w:t>
    </w:r>
  </w:p>
  <w:p w14:paraId="63A6A6CC" w14:textId="77777777" w:rsidR="001637E6" w:rsidRPr="009A2D40" w:rsidRDefault="001637E6" w:rsidP="001637E6">
    <w:pPr>
      <w:pStyle w:val="Intestazione"/>
      <w:rPr>
        <w:rFonts w:ascii="Aptos" w:hAnsi="Aptos"/>
        <w:sz w:val="18"/>
        <w:szCs w:val="18"/>
        <w:lang w:val="it-IT"/>
      </w:rPr>
    </w:pPr>
    <w:r w:rsidRPr="009A2D40">
      <w:rPr>
        <w:rFonts w:ascii="Aptos" w:hAnsi="Aptos"/>
        <w:sz w:val="18"/>
        <w:lang w:val="it-IT"/>
      </w:rPr>
      <w:t>06049 Spoleto (PG)</w:t>
    </w:r>
  </w:p>
  <w:p w14:paraId="0B59D8AC" w14:textId="77777777" w:rsidR="001637E6" w:rsidRPr="009A2D40" w:rsidRDefault="001637E6" w:rsidP="001637E6">
    <w:pPr>
      <w:pStyle w:val="Intestazione"/>
      <w:rPr>
        <w:rFonts w:ascii="Aptos" w:hAnsi="Aptos"/>
        <w:sz w:val="18"/>
        <w:szCs w:val="18"/>
        <w:lang w:val="it-IT"/>
      </w:rPr>
    </w:pPr>
    <w:r w:rsidRPr="009A2D40">
      <w:rPr>
        <w:rFonts w:ascii="Aptos" w:hAnsi="Aptos"/>
        <w:sz w:val="18"/>
        <w:lang w:val="it-IT"/>
      </w:rPr>
      <w:t>NÚMERO IVA IT01629170547</w:t>
    </w:r>
  </w:p>
  <w:p w14:paraId="10D9FBEE" w14:textId="77777777" w:rsidR="001637E6" w:rsidRPr="009A2D40" w:rsidRDefault="001637E6" w:rsidP="001637E6">
    <w:pPr>
      <w:pStyle w:val="Intestazione"/>
      <w:rPr>
        <w:rFonts w:ascii="Aptos" w:hAnsi="Aptos"/>
        <w:sz w:val="18"/>
        <w:szCs w:val="18"/>
        <w:lang w:val="it-IT"/>
      </w:rPr>
    </w:pPr>
    <w:r w:rsidRPr="009A2D40">
      <w:rPr>
        <w:rFonts w:ascii="Aptos" w:hAnsi="Aptos"/>
        <w:sz w:val="18"/>
        <w:lang w:val="it-IT"/>
      </w:rPr>
      <w:t>Registro imprese di Perugia – R.E.A. di Perugia nr. 150802</w:t>
    </w:r>
  </w:p>
  <w:p w14:paraId="3FB9F33D" w14:textId="77777777" w:rsidR="001637E6" w:rsidRPr="009A2D40" w:rsidRDefault="001637E6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12A3B"/>
    <w:multiLevelType w:val="multilevel"/>
    <w:tmpl w:val="C5F83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953BA"/>
    <w:multiLevelType w:val="multilevel"/>
    <w:tmpl w:val="7C88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C327AE"/>
    <w:multiLevelType w:val="multilevel"/>
    <w:tmpl w:val="0E22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953417">
    <w:abstractNumId w:val="0"/>
  </w:num>
  <w:num w:numId="2" w16cid:durableId="193007185">
    <w:abstractNumId w:val="2"/>
  </w:num>
  <w:num w:numId="3" w16cid:durableId="208811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66"/>
    <w:rsid w:val="000D68C6"/>
    <w:rsid w:val="000E296C"/>
    <w:rsid w:val="001637E6"/>
    <w:rsid w:val="00167E8A"/>
    <w:rsid w:val="0019099B"/>
    <w:rsid w:val="001A0977"/>
    <w:rsid w:val="0029486D"/>
    <w:rsid w:val="002F70D8"/>
    <w:rsid w:val="003033B9"/>
    <w:rsid w:val="00384705"/>
    <w:rsid w:val="00393DCC"/>
    <w:rsid w:val="003B053F"/>
    <w:rsid w:val="00430A89"/>
    <w:rsid w:val="004619FD"/>
    <w:rsid w:val="004805AE"/>
    <w:rsid w:val="004B60CC"/>
    <w:rsid w:val="00546B33"/>
    <w:rsid w:val="0054797E"/>
    <w:rsid w:val="00603359"/>
    <w:rsid w:val="00680E40"/>
    <w:rsid w:val="006948CF"/>
    <w:rsid w:val="007661D8"/>
    <w:rsid w:val="007D274A"/>
    <w:rsid w:val="00836466"/>
    <w:rsid w:val="008557DC"/>
    <w:rsid w:val="008A081C"/>
    <w:rsid w:val="0091633C"/>
    <w:rsid w:val="009A04BC"/>
    <w:rsid w:val="009A2D40"/>
    <w:rsid w:val="009B0EDD"/>
    <w:rsid w:val="00AB2F20"/>
    <w:rsid w:val="00AE3A1E"/>
    <w:rsid w:val="00B040D4"/>
    <w:rsid w:val="00B72CE6"/>
    <w:rsid w:val="00C247CD"/>
    <w:rsid w:val="00C503FF"/>
    <w:rsid w:val="00C565F1"/>
    <w:rsid w:val="00C8538D"/>
    <w:rsid w:val="00CE4645"/>
    <w:rsid w:val="00D125B2"/>
    <w:rsid w:val="00D21279"/>
    <w:rsid w:val="00D8545F"/>
    <w:rsid w:val="00DA0DEC"/>
    <w:rsid w:val="00DF27CA"/>
    <w:rsid w:val="00E01540"/>
    <w:rsid w:val="00E47567"/>
    <w:rsid w:val="00EF79C1"/>
    <w:rsid w:val="00F80002"/>
    <w:rsid w:val="00FC0E15"/>
    <w:rsid w:val="00FC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F4E4"/>
  <w15:chartTrackingRefBased/>
  <w15:docId w15:val="{4EEFE565-2586-40FE-AB98-A85F8797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364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6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64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64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64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64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64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64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64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6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6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6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646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646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64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64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64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64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6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6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64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6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6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64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364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646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6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646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646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F79C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79C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EF79C1"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296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296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E296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63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37E6"/>
  </w:style>
  <w:style w:type="paragraph" w:styleId="Pidipagina">
    <w:name w:val="footer"/>
    <w:basedOn w:val="Normale"/>
    <w:link w:val="PidipaginaCarattere"/>
    <w:uiPriority w:val="99"/>
    <w:unhideWhenUsed/>
    <w:rsid w:val="00163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euro.info/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erunacoma.it/it/Macchine-per-il-gardening-il-fattore-meteo-condiziona-il-mercato/c146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3071E-FB16-47CF-88A0-3E853577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Licenza7</dc:creator>
  <cp:keywords/>
  <dc:description/>
  <cp:lastModifiedBy>Raquel Ortega</cp:lastModifiedBy>
  <cp:revision>4</cp:revision>
  <cp:lastPrinted>2025-02-05T07:50:00Z</cp:lastPrinted>
  <dcterms:created xsi:type="dcterms:W3CDTF">2025-02-06T13:37:00Z</dcterms:created>
  <dcterms:modified xsi:type="dcterms:W3CDTF">2025-02-07T09:45:00Z</dcterms:modified>
</cp:coreProperties>
</file>